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3D9DFCD5"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w:t>
      </w:r>
      <w:r w:rsidR="00284A19">
        <w:rPr>
          <w:rFonts w:ascii="Arial" w:hAnsi="Arial" w:cs="Arial"/>
          <w:b/>
          <w:sz w:val="24"/>
          <w:szCs w:val="24"/>
          <w:lang w:eastAsia="zh-CN"/>
        </w:rPr>
        <w:t>3</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5E1B43">
        <w:rPr>
          <w:rFonts w:ascii="Arial" w:eastAsia="MS Mincho" w:hAnsi="Arial" w:cs="Arial"/>
          <w:b/>
          <w:sz w:val="24"/>
          <w:szCs w:val="24"/>
        </w:rPr>
        <w:t>7878</w:t>
      </w:r>
    </w:p>
    <w:p w14:paraId="0ED16545" w14:textId="3A700157" w:rsidR="0068254F" w:rsidRPr="00881E60" w:rsidRDefault="004A5097"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Orlando</w:t>
      </w:r>
      <w:r w:rsidR="00202765">
        <w:rPr>
          <w:rFonts w:ascii="Arial" w:hAnsi="Arial"/>
          <w:b/>
          <w:sz w:val="24"/>
          <w:szCs w:val="24"/>
          <w:lang w:eastAsia="zh-CN"/>
        </w:rPr>
        <w:t xml:space="preserve">, </w:t>
      </w:r>
      <w:r>
        <w:rPr>
          <w:rFonts w:ascii="Arial" w:hAnsi="Arial"/>
          <w:b/>
          <w:sz w:val="24"/>
          <w:szCs w:val="24"/>
          <w:lang w:eastAsia="zh-CN"/>
        </w:rPr>
        <w:t>US</w:t>
      </w:r>
      <w:r w:rsidR="00EF3FF4">
        <w:rPr>
          <w:rFonts w:ascii="Arial" w:hAnsi="Arial"/>
          <w:b/>
          <w:sz w:val="24"/>
          <w:szCs w:val="24"/>
          <w:lang w:eastAsia="zh-CN"/>
        </w:rPr>
        <w:t xml:space="preserve">, </w:t>
      </w:r>
      <w:r>
        <w:rPr>
          <w:rFonts w:ascii="Arial" w:hAnsi="Arial"/>
          <w:b/>
          <w:sz w:val="24"/>
          <w:szCs w:val="24"/>
          <w:lang w:eastAsia="zh-CN"/>
        </w:rPr>
        <w:t>Nov</w:t>
      </w:r>
      <w:r w:rsidR="00202765">
        <w:rPr>
          <w:rFonts w:ascii="Arial" w:hAnsi="Arial"/>
          <w:b/>
          <w:sz w:val="24"/>
          <w:szCs w:val="24"/>
          <w:lang w:eastAsia="zh-CN"/>
        </w:rPr>
        <w:t xml:space="preserve"> </w:t>
      </w:r>
      <w:r w:rsidR="00AE614E">
        <w:rPr>
          <w:rFonts w:ascii="Arial" w:hAnsi="Arial"/>
          <w:b/>
          <w:sz w:val="24"/>
          <w:szCs w:val="24"/>
          <w:lang w:eastAsia="zh-CN"/>
        </w:rPr>
        <w:t>1</w:t>
      </w:r>
      <w:r>
        <w:rPr>
          <w:rFonts w:ascii="Arial" w:hAnsi="Arial"/>
          <w:b/>
          <w:sz w:val="24"/>
          <w:szCs w:val="24"/>
          <w:lang w:eastAsia="zh-CN"/>
        </w:rPr>
        <w:t>8</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w:t>
      </w:r>
      <w:r>
        <w:rPr>
          <w:rFonts w:ascii="Arial" w:hAnsi="Arial"/>
          <w:b/>
          <w:sz w:val="24"/>
          <w:szCs w:val="24"/>
          <w:lang w:eastAsia="zh-CN"/>
        </w:rPr>
        <w:t>22</w:t>
      </w:r>
      <w:r>
        <w:rPr>
          <w:rFonts w:ascii="Arial" w:hAnsi="Arial"/>
          <w:b/>
          <w:sz w:val="24"/>
          <w:szCs w:val="24"/>
          <w:vertAlign w:val="superscript"/>
          <w:lang w:eastAsia="zh-CN"/>
        </w:rPr>
        <w:t>nd</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39188978"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4A19" w:rsidRPr="00284A19">
        <w:rPr>
          <w:rFonts w:ascii="Arial" w:hAnsi="Arial" w:cs="Arial"/>
          <w:b/>
          <w:sz w:val="22"/>
        </w:rPr>
        <w:t>Further discussion on additional information for IMT parameters</w:t>
      </w:r>
    </w:p>
    <w:p w14:paraId="73AD8CE3" w14:textId="1FB4BFC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84A19">
        <w:rPr>
          <w:rFonts w:ascii="Arial" w:hAnsi="Arial" w:cs="Arial"/>
          <w:b/>
          <w:bCs/>
          <w:sz w:val="22"/>
          <w:lang w:eastAsia="zh-CN"/>
        </w:rPr>
        <w:t>7</w:t>
      </w:r>
      <w:r w:rsidR="00280D59" w:rsidRPr="00AA4927">
        <w:rPr>
          <w:rFonts w:ascii="Arial" w:hAnsi="Arial" w:cs="Arial"/>
          <w:b/>
          <w:bCs/>
          <w:sz w:val="22"/>
          <w:lang w:eastAsia="zh-CN"/>
        </w:rPr>
        <w:t>.</w:t>
      </w:r>
      <w:r w:rsidR="00E1489A">
        <w:rPr>
          <w:rFonts w:ascii="Arial" w:hAnsi="Arial" w:cs="Arial"/>
          <w:b/>
          <w:bCs/>
          <w:sz w:val="22"/>
          <w:lang w:eastAsia="zh-CN"/>
        </w:rPr>
        <w:t>2</w:t>
      </w:r>
      <w:r w:rsidR="00280D59" w:rsidRPr="00AA4927">
        <w:rPr>
          <w:rFonts w:ascii="Arial" w:hAnsi="Arial" w:cs="Arial"/>
          <w:b/>
          <w:bCs/>
          <w:sz w:val="22"/>
          <w:lang w:eastAsia="zh-CN"/>
        </w:rPr>
        <w:t>.</w:t>
      </w:r>
      <w:r w:rsidR="00E1489A">
        <w:rPr>
          <w:rFonts w:ascii="Arial" w:hAnsi="Arial" w:cs="Arial"/>
          <w:b/>
          <w:bCs/>
          <w:sz w:val="22"/>
          <w:lang w:eastAsia="zh-CN"/>
        </w:rPr>
        <w:t>5</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18A10648" w14:textId="3E81DB28" w:rsidR="007D5405" w:rsidRDefault="007D5405" w:rsidP="007714BA">
      <w:pPr>
        <w:pStyle w:val="B1"/>
        <w:ind w:left="0" w:firstLine="0"/>
        <w:rPr>
          <w:lang w:eastAsia="zh-CN"/>
        </w:rPr>
      </w:pPr>
      <w:r>
        <w:rPr>
          <w:lang w:eastAsia="zh-CN"/>
        </w:rPr>
        <w:t>In the LS from ITU-R WP5D requesting for parameters for compatibility and sharing studies, other information on AAS implementation is also requested in additional to parameters related to three frequency ranges (4400 MHz – 4800 MHz, 7125 MHz – 8400 MHz, 14.8 GHz – 15.35 GHz) [12]:</w:t>
      </w:r>
    </w:p>
    <w:tbl>
      <w:tblPr>
        <w:tblStyle w:val="TableGrid"/>
        <w:tblW w:w="0" w:type="auto"/>
        <w:tblLook w:val="04A0" w:firstRow="1" w:lastRow="0" w:firstColumn="1" w:lastColumn="0" w:noHBand="0" w:noVBand="1"/>
      </w:tblPr>
      <w:tblGrid>
        <w:gridCol w:w="10457"/>
      </w:tblGrid>
      <w:tr w:rsidR="007D5405" w:rsidRPr="00C602C5" w14:paraId="5A3C889F" w14:textId="77777777" w:rsidTr="007D5405">
        <w:tc>
          <w:tcPr>
            <w:tcW w:w="10457" w:type="dxa"/>
          </w:tcPr>
          <w:p w14:paraId="372BA46A" w14:textId="00DB4FE2" w:rsidR="00666252" w:rsidRPr="00666252" w:rsidRDefault="00666252" w:rsidP="00666252">
            <w:pPr>
              <w:tabs>
                <w:tab w:val="left" w:pos="1134"/>
                <w:tab w:val="left" w:pos="1871"/>
                <w:tab w:val="left" w:pos="2608"/>
                <w:tab w:val="left" w:pos="3345"/>
              </w:tabs>
              <w:spacing w:before="80" w:after="0"/>
              <w:ind w:left="737" w:hanging="737"/>
              <w:rPr>
                <w:i/>
                <w:iCs/>
                <w:highlight w:val="yellow"/>
                <w:lang w:eastAsia="en-US"/>
              </w:rPr>
            </w:pPr>
            <w:r w:rsidRPr="00C602C5">
              <w:rPr>
                <w:lang w:eastAsia="en-US"/>
              </w:rPr>
              <w:t xml:space="preserve">d)     </w:t>
            </w:r>
            <w:r w:rsidRPr="00666252">
              <w:rPr>
                <w:i/>
                <w:iCs/>
                <w:lang w:eastAsia="en-US"/>
              </w:rPr>
              <w:t xml:space="preserve">IMT base station (inclusive of its AAS-related parameters) and IMT user equipment technical parameters for analyzing adjacent band compatibility of terrestrial IMT systems with other co-primary services in the ITU Radio Regulations. </w:t>
            </w:r>
          </w:p>
          <w:p w14:paraId="204F4F3A" w14:textId="77777777" w:rsidR="00666252" w:rsidRPr="00666252" w:rsidRDefault="00666252" w:rsidP="00666252">
            <w:pPr>
              <w:tabs>
                <w:tab w:val="left" w:pos="1134"/>
                <w:tab w:val="left" w:pos="1871"/>
                <w:tab w:val="left" w:pos="2608"/>
                <w:tab w:val="left" w:pos="3345"/>
              </w:tabs>
              <w:spacing w:before="80" w:after="0"/>
              <w:ind w:left="737" w:hanging="737"/>
              <w:rPr>
                <w:rFonts w:eastAsia="Calibri"/>
                <w:i/>
                <w:iCs/>
                <w:lang w:val="en-NZ" w:eastAsia="en-US"/>
                <w14:ligatures w14:val="standardContextual"/>
              </w:rPr>
            </w:pPr>
            <w:r w:rsidRPr="00666252">
              <w:rPr>
                <w:i/>
                <w:iCs/>
                <w:lang w:eastAsia="en-US"/>
              </w:rPr>
              <w:tab/>
              <w:t>WP 5D also seeks information about how the AAS performs in adjacent bands i.e. does its performance drops down to that of a single element or still some array features remain. If the latter is true how far in frequency should one assume the continuity of array features even with some degradation?</w:t>
            </w:r>
          </w:p>
          <w:p w14:paraId="236AFB6F" w14:textId="7894324B" w:rsidR="007D5405" w:rsidRPr="00C602C5" w:rsidRDefault="00666252" w:rsidP="00666252">
            <w:pPr>
              <w:tabs>
                <w:tab w:val="left" w:pos="1134"/>
                <w:tab w:val="left" w:pos="1871"/>
                <w:tab w:val="left" w:pos="2608"/>
                <w:tab w:val="left" w:pos="3345"/>
              </w:tabs>
              <w:spacing w:before="80" w:after="0"/>
              <w:ind w:left="737" w:hanging="737"/>
              <w:rPr>
                <w:i/>
                <w:iCs/>
                <w:lang w:eastAsia="en-US"/>
              </w:rPr>
            </w:pPr>
            <w:r w:rsidRPr="00666252">
              <w:rPr>
                <w:i/>
                <w:iCs/>
                <w:lang w:val="en-US" w:eastAsia="en-US"/>
              </w:rPr>
              <w:t>e)</w:t>
            </w:r>
            <w:r w:rsidRPr="00666252">
              <w:rPr>
                <w:i/>
                <w:iCs/>
                <w:lang w:val="en-US" w:eastAsia="en-US"/>
              </w:rPr>
              <w:tab/>
              <w:t>Considering the system-level simulation work typically conducted in WP5D for sharing and compatibility studies using 3D modelling of antenna pattern, WP5D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 is welcomed.</w:t>
            </w:r>
          </w:p>
        </w:tc>
      </w:tr>
    </w:tbl>
    <w:p w14:paraId="015B826C" w14:textId="77777777" w:rsidR="007D5405" w:rsidRDefault="007D5405" w:rsidP="007714BA">
      <w:pPr>
        <w:pStyle w:val="B1"/>
        <w:ind w:left="0" w:firstLine="0"/>
        <w:rPr>
          <w:lang w:eastAsia="zh-CN"/>
        </w:rPr>
      </w:pPr>
    </w:p>
    <w:p w14:paraId="551488A7" w14:textId="24281C58" w:rsidR="0093327A" w:rsidRDefault="0093327A" w:rsidP="0093327A">
      <w:pPr>
        <w:pStyle w:val="B1"/>
        <w:ind w:left="0" w:firstLine="0"/>
        <w:rPr>
          <w:lang w:eastAsia="zh-CN"/>
        </w:rPr>
      </w:pPr>
      <w:r>
        <w:rPr>
          <w:lang w:eastAsia="zh-CN"/>
        </w:rPr>
        <w:t>Accordingly, in order to respond to these additional information requests from ITU-R, the study item sets up two objectives accordingly [11]:</w:t>
      </w:r>
    </w:p>
    <w:tbl>
      <w:tblPr>
        <w:tblStyle w:val="TableGrid"/>
        <w:tblW w:w="0" w:type="auto"/>
        <w:tblLook w:val="04A0" w:firstRow="1" w:lastRow="0" w:firstColumn="1" w:lastColumn="0" w:noHBand="0" w:noVBand="1"/>
      </w:tblPr>
      <w:tblGrid>
        <w:gridCol w:w="10457"/>
      </w:tblGrid>
      <w:tr w:rsidR="0093327A" w14:paraId="233050DE" w14:textId="77777777" w:rsidTr="00567DA4">
        <w:tc>
          <w:tcPr>
            <w:tcW w:w="10457" w:type="dxa"/>
          </w:tcPr>
          <w:p w14:paraId="0FCB49EF" w14:textId="77777777" w:rsidR="0093327A" w:rsidRPr="00E749EA" w:rsidRDefault="0093327A" w:rsidP="00567DA4">
            <w:pPr>
              <w:pStyle w:val="B1"/>
              <w:rPr>
                <w:i/>
                <w:iCs/>
                <w:lang w:eastAsia="zh-CN"/>
              </w:rPr>
            </w:pPr>
            <w:r>
              <w:rPr>
                <w:lang w:eastAsia="zh-CN"/>
              </w:rPr>
              <w:t>•</w:t>
            </w:r>
            <w:r>
              <w:rPr>
                <w:lang w:eastAsia="zh-CN"/>
              </w:rPr>
              <w:tab/>
            </w:r>
            <w:r w:rsidRPr="00E749EA">
              <w:rPr>
                <w:i/>
                <w:iCs/>
                <w:lang w:eastAsia="zh-CN"/>
              </w:rPr>
              <w:t>As part of additional information requested by ITU-R WP 5D establish a model for array correlation factor (</w:t>
            </w:r>
            <w:r>
              <w:rPr>
                <w:i/>
                <w:iCs/>
                <w:lang w:eastAsia="zh-CN"/>
              </w:rPr>
              <w:t>ρ</w:t>
            </w:r>
            <w:r w:rsidRPr="00E749EA">
              <w:rPr>
                <w:i/>
                <w:iCs/>
                <w:lang w:eastAsia="zh-CN"/>
              </w:rPr>
              <w:t xml:space="preserve">)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p>
          <w:p w14:paraId="04E01272" w14:textId="77777777" w:rsidR="0093327A" w:rsidRDefault="0093327A" w:rsidP="00567DA4">
            <w:pPr>
              <w:pStyle w:val="B1"/>
              <w:rPr>
                <w:lang w:eastAsia="zh-CN"/>
              </w:rPr>
            </w:pPr>
            <w:r w:rsidRPr="00E749EA">
              <w:rPr>
                <w:i/>
                <w:iCs/>
                <w:lang w:eastAsia="zh-CN"/>
              </w:rPr>
              <w:t>•</w:t>
            </w:r>
            <w:r w:rsidRPr="00E749EA">
              <w:rPr>
                <w:i/>
                <w:iCs/>
                <w:lang w:eastAsia="zh-CN"/>
              </w:rPr>
              <w:tab/>
              <w:t>Considering the system-level simulation work typically conducted in ITU-R WP 5D for sharing and compatibility studies using 3D modelling of antenna pattern, ITU-R WP 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p>
        </w:tc>
      </w:tr>
    </w:tbl>
    <w:p w14:paraId="08307BB6" w14:textId="4EA6CAD7" w:rsidR="0093327A" w:rsidRDefault="0093327A" w:rsidP="007714BA">
      <w:pPr>
        <w:pStyle w:val="B1"/>
        <w:ind w:left="0" w:firstLine="0"/>
        <w:rPr>
          <w:lang w:eastAsia="zh-CN"/>
        </w:rPr>
      </w:pPr>
    </w:p>
    <w:p w14:paraId="123EF1DB" w14:textId="77777777" w:rsidR="004A5097" w:rsidRDefault="008D4EEB" w:rsidP="0093327A">
      <w:pPr>
        <w:pStyle w:val="B1"/>
        <w:ind w:left="0" w:firstLine="0"/>
        <w:rPr>
          <w:lang w:eastAsia="zh-CN"/>
        </w:rPr>
      </w:pPr>
      <w:r>
        <w:rPr>
          <w:lang w:eastAsia="zh-CN"/>
        </w:rPr>
        <w:t xml:space="preserve">In RAN4#112, several papers were submitted to discuss </w:t>
      </w:r>
      <w:r w:rsidR="00265967">
        <w:rPr>
          <w:lang w:eastAsia="zh-CN"/>
        </w:rPr>
        <w:t xml:space="preserve">these </w:t>
      </w:r>
      <w:r>
        <w:rPr>
          <w:lang w:eastAsia="zh-CN"/>
        </w:rPr>
        <w:t>additional information requests from ITU-R LS besides parameters directly related to three frequency range</w:t>
      </w:r>
      <w:r w:rsidR="007D5405">
        <w:rPr>
          <w:lang w:eastAsia="zh-CN"/>
        </w:rPr>
        <w:t>s</w:t>
      </w:r>
      <w:r>
        <w:rPr>
          <w:lang w:eastAsia="zh-CN"/>
        </w:rPr>
        <w:t xml:space="preserve"> [1 – 10], although there were no online or offline discussions on this topic since the focus was on the reply LS on the second frequency range.</w:t>
      </w:r>
      <w:r w:rsidR="00E749EA">
        <w:rPr>
          <w:lang w:eastAsia="zh-CN"/>
        </w:rPr>
        <w:t xml:space="preserve"> </w:t>
      </w:r>
    </w:p>
    <w:p w14:paraId="6BD688A0" w14:textId="7A00F835" w:rsidR="00E749EA" w:rsidRDefault="00284A19" w:rsidP="0093327A">
      <w:pPr>
        <w:pStyle w:val="B1"/>
        <w:ind w:left="0" w:firstLine="0"/>
        <w:rPr>
          <w:lang w:eastAsia="zh-CN"/>
        </w:rPr>
      </w:pPr>
      <w:r>
        <w:rPr>
          <w:lang w:eastAsia="zh-CN"/>
        </w:rPr>
        <w:t>And in RAN4#112bis, the discussion was not sufficient due to the limited of time.</w:t>
      </w:r>
    </w:p>
    <w:p w14:paraId="6791EDEE" w14:textId="2A9940C8" w:rsidR="00E749EA" w:rsidRDefault="008C4043" w:rsidP="007714BA">
      <w:pPr>
        <w:pStyle w:val="B1"/>
        <w:ind w:left="0" w:firstLine="0"/>
        <w:rPr>
          <w:lang w:eastAsia="zh-CN"/>
        </w:rPr>
      </w:pPr>
      <w:r>
        <w:rPr>
          <w:lang w:eastAsia="zh-CN"/>
        </w:rPr>
        <w:t>In this contribution, we present our views on these additional information requests.</w:t>
      </w:r>
    </w:p>
    <w:p w14:paraId="29EF9E55" w14:textId="2B110BA6" w:rsidR="00163132" w:rsidRPr="00AB3D40" w:rsidRDefault="009267C2" w:rsidP="003E08FC">
      <w:pPr>
        <w:pStyle w:val="Heading1"/>
        <w:rPr>
          <w:lang w:eastAsia="zh-CN"/>
        </w:rPr>
      </w:pPr>
      <w:r>
        <w:t>2 Discussion</w:t>
      </w:r>
    </w:p>
    <w:p w14:paraId="74140C72" w14:textId="4026B1CB" w:rsidR="00163132" w:rsidRPr="00FD3242" w:rsidRDefault="00FD3242" w:rsidP="00FD3242">
      <w:pPr>
        <w:pStyle w:val="Heading2"/>
        <w:rPr>
          <w:sz w:val="28"/>
          <w:szCs w:val="18"/>
          <w:lang w:eastAsia="zh-CN"/>
        </w:rPr>
      </w:pPr>
      <w:r w:rsidRPr="00FD3242">
        <w:rPr>
          <w:sz w:val="28"/>
          <w:szCs w:val="18"/>
          <w:lang w:eastAsia="zh-CN"/>
        </w:rPr>
        <w:t xml:space="preserve">2.1 Array modelling for adjacent channel </w:t>
      </w:r>
    </w:p>
    <w:p w14:paraId="30B733BB" w14:textId="2A2A7002" w:rsidR="00FD3242" w:rsidRDefault="00244D97" w:rsidP="009267C2">
      <w:pPr>
        <w:pStyle w:val="B1"/>
        <w:ind w:left="0" w:firstLine="0"/>
        <w:rPr>
          <w:lang w:eastAsia="zh-CN"/>
        </w:rPr>
      </w:pPr>
      <w:r>
        <w:rPr>
          <w:lang w:eastAsia="zh-CN"/>
        </w:rPr>
        <w:t>In [14], studies show that in some cases ACLR becomes spatial sensitive based on the evaluation for a channel bandwidth 5MHz and a lower carrier frequency (~ 2GHz).</w:t>
      </w:r>
      <w:r w:rsidR="00313B63">
        <w:rPr>
          <w:lang w:eastAsia="zh-CN"/>
        </w:rPr>
        <w:t xml:space="preserve"> Similar studies could be interesting for a much larger channel bandwidth (100 MHz ~ 400 MHz) at a higher carrier frequency (15GHz).</w:t>
      </w:r>
    </w:p>
    <w:p w14:paraId="5F143270" w14:textId="462B18E4" w:rsidR="00313B63" w:rsidRPr="00313B63" w:rsidRDefault="00313B63" w:rsidP="009267C2">
      <w:pPr>
        <w:pStyle w:val="B1"/>
        <w:ind w:left="0" w:firstLine="0"/>
        <w:rPr>
          <w:b/>
          <w:bCs/>
          <w:lang w:eastAsia="zh-CN"/>
        </w:rPr>
      </w:pPr>
      <w:r w:rsidRPr="00313B63">
        <w:rPr>
          <w:b/>
          <w:bCs/>
          <w:lang w:eastAsia="zh-CN"/>
        </w:rPr>
        <w:t>Observation</w:t>
      </w:r>
      <w:r>
        <w:rPr>
          <w:b/>
          <w:bCs/>
          <w:lang w:eastAsia="zh-CN"/>
        </w:rPr>
        <w:t xml:space="preserve"> 1</w:t>
      </w:r>
      <w:r w:rsidRPr="00313B63">
        <w:rPr>
          <w:b/>
          <w:bCs/>
          <w:lang w:eastAsia="zh-CN"/>
        </w:rPr>
        <w:t>: Evaluation may be interesting for a channel bandwidth 100 MHz ~ 400 MHz at 15GHz for the cases where spatial</w:t>
      </w:r>
      <w:r w:rsidR="00F21CF8">
        <w:rPr>
          <w:b/>
          <w:bCs/>
          <w:lang w:eastAsia="zh-CN"/>
        </w:rPr>
        <w:t xml:space="preserve"> </w:t>
      </w:r>
      <w:r w:rsidRPr="00313B63">
        <w:rPr>
          <w:b/>
          <w:bCs/>
          <w:lang w:eastAsia="zh-CN"/>
        </w:rPr>
        <w:t>sensitivity of ACLR is observed for 5MHz channel bandwidth at 2GHz.</w:t>
      </w:r>
    </w:p>
    <w:p w14:paraId="20626FAA" w14:textId="1497A714" w:rsidR="00313B63" w:rsidRDefault="004F060C" w:rsidP="009267C2">
      <w:pPr>
        <w:pStyle w:val="B1"/>
        <w:ind w:left="0" w:firstLine="0"/>
        <w:rPr>
          <w:lang w:eastAsia="zh-CN"/>
        </w:rPr>
      </w:pPr>
      <w:r w:rsidRPr="004F060C">
        <w:rPr>
          <w:lang w:eastAsia="zh-CN"/>
        </w:rPr>
        <w:lastRenderedPageBreak/>
        <w:t>It is important to note that in coexistence simulations, the interference for each UE is determined by summing all the received signals based on the transmitter and receiver antenna patterns, along with the configured ACIR, which is uniform in all directions and identical to the value used when the desired signal and interference are aligned in the same direction. Therefore, even though spatial variations in ACLR may be observed in some scenarios, the current method of calculating interference for each UE assumes the worst-case scenario in terms of spatial ACLR. This serves as the basis for defining the minimum ACIR requirement, making it unnecessary to introduce a spatial ACLR requirement.</w:t>
      </w:r>
    </w:p>
    <w:p w14:paraId="169E9581" w14:textId="5895DE55" w:rsidR="004F060C" w:rsidRPr="00E15AF7" w:rsidRDefault="004F060C" w:rsidP="009267C2">
      <w:pPr>
        <w:pStyle w:val="B1"/>
        <w:ind w:left="0" w:firstLine="0"/>
        <w:rPr>
          <w:b/>
          <w:bCs/>
          <w:lang w:eastAsia="zh-CN"/>
        </w:rPr>
      </w:pPr>
      <w:r w:rsidRPr="00E15AF7">
        <w:rPr>
          <w:b/>
          <w:bCs/>
          <w:lang w:eastAsia="zh-CN"/>
        </w:rPr>
        <w:t xml:space="preserve">Observation 2: </w:t>
      </w:r>
      <w:r w:rsidR="0057292F" w:rsidRPr="00E15AF7">
        <w:rPr>
          <w:b/>
          <w:bCs/>
          <w:lang w:eastAsia="zh-CN"/>
        </w:rPr>
        <w:t xml:space="preserve">The current coexistence simulation </w:t>
      </w:r>
      <w:r w:rsidR="00E15AF7" w:rsidRPr="00E15AF7">
        <w:rPr>
          <w:b/>
          <w:bCs/>
          <w:lang w:eastAsia="zh-CN"/>
        </w:rPr>
        <w:t xml:space="preserve">assumes the worst-case scenario in terms of spatial ACLR by </w:t>
      </w:r>
      <w:r w:rsidR="0057292F" w:rsidRPr="00E15AF7">
        <w:rPr>
          <w:b/>
          <w:bCs/>
          <w:lang w:eastAsia="zh-CN"/>
        </w:rPr>
        <w:t>appl</w:t>
      </w:r>
      <w:r w:rsidR="00E15AF7" w:rsidRPr="00E15AF7">
        <w:rPr>
          <w:b/>
          <w:bCs/>
          <w:lang w:eastAsia="zh-CN"/>
        </w:rPr>
        <w:t>ying</w:t>
      </w:r>
      <w:r w:rsidR="0057292F" w:rsidRPr="00E15AF7">
        <w:rPr>
          <w:b/>
          <w:bCs/>
          <w:lang w:eastAsia="zh-CN"/>
        </w:rPr>
        <w:t xml:space="preserve"> a </w:t>
      </w:r>
      <w:r w:rsidR="00E15AF7" w:rsidRPr="00E15AF7">
        <w:rPr>
          <w:b/>
          <w:bCs/>
          <w:lang w:eastAsia="zh-CN"/>
        </w:rPr>
        <w:t>uniform</w:t>
      </w:r>
      <w:r w:rsidR="0057292F" w:rsidRPr="00E15AF7">
        <w:rPr>
          <w:b/>
          <w:bCs/>
          <w:lang w:eastAsia="zh-CN"/>
        </w:rPr>
        <w:t xml:space="preserve"> ACIR value</w:t>
      </w:r>
      <w:r w:rsidR="00E15AF7" w:rsidRPr="00E15AF7">
        <w:rPr>
          <w:b/>
          <w:bCs/>
          <w:lang w:eastAsia="zh-CN"/>
        </w:rPr>
        <w:t>, which is the basis for defining the minimum ACIR requirement.</w:t>
      </w:r>
    </w:p>
    <w:p w14:paraId="047C7464" w14:textId="2358E07D" w:rsidR="00244D97" w:rsidRPr="00E15AF7" w:rsidRDefault="00E15AF7" w:rsidP="009267C2">
      <w:pPr>
        <w:pStyle w:val="B1"/>
        <w:ind w:left="0" w:firstLine="0"/>
        <w:rPr>
          <w:b/>
          <w:bCs/>
          <w:lang w:eastAsia="zh-CN"/>
        </w:rPr>
      </w:pPr>
      <w:r w:rsidRPr="00E15AF7">
        <w:rPr>
          <w:b/>
          <w:bCs/>
          <w:lang w:eastAsia="zh-CN"/>
        </w:rPr>
        <w:t xml:space="preserve">Proposal 1: </w:t>
      </w:r>
      <w:r w:rsidR="006A57C5">
        <w:rPr>
          <w:b/>
          <w:bCs/>
          <w:lang w:eastAsia="zh-CN"/>
        </w:rPr>
        <w:t>RAN4 to reply WP5D that</w:t>
      </w:r>
      <w:r w:rsidRPr="00E15AF7">
        <w:rPr>
          <w:b/>
          <w:bCs/>
          <w:lang w:eastAsia="zh-CN"/>
        </w:rPr>
        <w:t xml:space="preserve"> the current coexistence methodology is sufficient without a need of taking into account spatial ACLR.</w:t>
      </w:r>
    </w:p>
    <w:p w14:paraId="5EB146D7" w14:textId="2F75DFC1" w:rsidR="009267C2" w:rsidRPr="00FD3242" w:rsidRDefault="00FD3242" w:rsidP="00FD3242">
      <w:pPr>
        <w:pStyle w:val="Heading2"/>
        <w:rPr>
          <w:sz w:val="28"/>
          <w:szCs w:val="18"/>
          <w:lang w:eastAsia="zh-CN"/>
        </w:rPr>
      </w:pPr>
      <w:r w:rsidRPr="00FD3242">
        <w:rPr>
          <w:sz w:val="28"/>
          <w:szCs w:val="18"/>
          <w:lang w:eastAsia="zh-CN"/>
        </w:rPr>
        <w:t>2.2 Multi-user spatial beam-forming</w:t>
      </w:r>
    </w:p>
    <w:p w14:paraId="67D13DB2" w14:textId="38143E44" w:rsidR="00FD3242" w:rsidRDefault="008C4043" w:rsidP="009267C2">
      <w:pPr>
        <w:pStyle w:val="B1"/>
        <w:ind w:left="0" w:firstLine="0"/>
        <w:rPr>
          <w:lang w:eastAsia="zh-CN"/>
        </w:rPr>
      </w:pPr>
      <w:r>
        <w:rPr>
          <w:lang w:eastAsia="zh-CN"/>
        </w:rPr>
        <w:t xml:space="preserve">In ITU Recommendation M.2101, </w:t>
      </w:r>
      <w:r w:rsidRPr="008C4043">
        <w:rPr>
          <w:i/>
          <w:iCs/>
          <w:lang w:eastAsia="zh-CN"/>
        </w:rPr>
        <w:t>K</w:t>
      </w:r>
      <w:r>
        <w:rPr>
          <w:lang w:eastAsia="zh-CN"/>
        </w:rPr>
        <w:t xml:space="preserve"> active UEs are chosen for each BS in downlink simulation in each snapshot</w:t>
      </w:r>
      <w:r w:rsidR="003E6285">
        <w:rPr>
          <w:lang w:eastAsia="zh-CN"/>
        </w:rPr>
        <w:t xml:space="preserve">, and these </w:t>
      </w:r>
      <w:r w:rsidR="003E6285" w:rsidRPr="003E6285">
        <w:rPr>
          <w:i/>
          <w:iCs/>
          <w:lang w:eastAsia="zh-CN"/>
        </w:rPr>
        <w:t>K</w:t>
      </w:r>
      <w:r w:rsidR="003E6285">
        <w:rPr>
          <w:lang w:eastAsia="zh-CN"/>
        </w:rPr>
        <w:t xml:space="preserve"> active users share all available RBs equally without overlapping </w:t>
      </w:r>
      <w:r>
        <w:rPr>
          <w:lang w:eastAsia="zh-CN"/>
        </w:rPr>
        <w:t>[13]:</w:t>
      </w:r>
    </w:p>
    <w:tbl>
      <w:tblPr>
        <w:tblStyle w:val="TableGrid"/>
        <w:tblW w:w="0" w:type="auto"/>
        <w:tblLook w:val="04A0" w:firstRow="1" w:lastRow="0" w:firstColumn="1" w:lastColumn="0" w:noHBand="0" w:noVBand="1"/>
      </w:tblPr>
      <w:tblGrid>
        <w:gridCol w:w="10457"/>
      </w:tblGrid>
      <w:tr w:rsidR="003E6285" w:rsidRPr="00404BB5" w14:paraId="2B47C807" w14:textId="77777777" w:rsidTr="003E6285">
        <w:tc>
          <w:tcPr>
            <w:tcW w:w="10457" w:type="dxa"/>
          </w:tcPr>
          <w:p w14:paraId="571E8E93" w14:textId="77777777" w:rsidR="003E6285" w:rsidRPr="00404BB5" w:rsidRDefault="007969E4" w:rsidP="009267C2">
            <w:pPr>
              <w:pStyle w:val="B1"/>
              <w:ind w:left="0" w:firstLine="0"/>
              <w:rPr>
                <w:i/>
                <w:iCs/>
                <w:lang w:eastAsia="zh-CN"/>
              </w:rPr>
            </w:pPr>
            <w:r w:rsidRPr="00404BB5">
              <w:rPr>
                <w:i/>
                <w:iCs/>
                <w:lang w:eastAsia="zh-CN"/>
              </w:rPr>
              <w:t>…</w:t>
            </w:r>
          </w:p>
          <w:p w14:paraId="0D18E867" w14:textId="77777777" w:rsidR="007969E4" w:rsidRPr="00404BB5" w:rsidRDefault="007969E4" w:rsidP="009267C2">
            <w:pPr>
              <w:pStyle w:val="B1"/>
              <w:ind w:left="0" w:firstLine="0"/>
              <w:rPr>
                <w:i/>
                <w:iCs/>
                <w:lang w:eastAsia="zh-CN"/>
              </w:rPr>
            </w:pPr>
            <w:r w:rsidRPr="00404BB5">
              <w:rPr>
                <w:i/>
                <w:iCs/>
                <w:lang w:eastAsia="zh-CN"/>
              </w:rPr>
              <w:t>d.</w:t>
            </w:r>
            <w:r w:rsidRPr="00404BB5">
              <w:rPr>
                <w:i/>
                <w:iCs/>
                <w:lang w:eastAsia="zh-CN"/>
              </w:rPr>
              <w:tab/>
              <w:t>Select K UEs randomly from all the UEs linked to one BS as “chosen” UEs. These K “chosen” UEs will be scheduled during this snapshot. If beamforming is used, point selected BS/UE beams toward each other.</w:t>
            </w:r>
          </w:p>
          <w:p w14:paraId="60EAE276" w14:textId="77777777" w:rsidR="007969E4" w:rsidRPr="00404BB5" w:rsidRDefault="007969E4" w:rsidP="007969E4">
            <w:pPr>
              <w:pStyle w:val="B1"/>
              <w:ind w:left="284"/>
              <w:rPr>
                <w:i/>
                <w:iCs/>
                <w:lang w:eastAsia="zh-CN"/>
              </w:rPr>
            </w:pPr>
            <w:r w:rsidRPr="00404BB5">
              <w:rPr>
                <w:i/>
                <w:iCs/>
                <w:lang w:eastAsia="zh-CN"/>
              </w:rPr>
              <w:t>e.</w:t>
            </w:r>
            <w:r w:rsidRPr="00404BB5">
              <w:rPr>
                <w:i/>
                <w:iCs/>
                <w:lang w:eastAsia="zh-CN"/>
              </w:rPr>
              <w:tab/>
              <w:t xml:space="preserve">All available resource blocks (RBs) will be allocated to “chosen” UEs and each UE is scheduled with the </w:t>
            </w:r>
            <w:r w:rsidRPr="00404BB5">
              <w:rPr>
                <w:i/>
                <w:iCs/>
                <w:highlight w:val="yellow"/>
                <w:lang w:eastAsia="zh-CN"/>
              </w:rPr>
              <w:t>same number n of RBs</w:t>
            </w:r>
            <w:r w:rsidRPr="00404BB5">
              <w:rPr>
                <w:i/>
                <w:iCs/>
                <w:lang w:eastAsia="zh-CN"/>
              </w:rPr>
              <w:t xml:space="preserve">. Thus, the BS transmitted power per UE is fixed. </w:t>
            </w:r>
          </w:p>
          <w:p w14:paraId="2DFEAD33" w14:textId="77777777" w:rsidR="007969E4" w:rsidRPr="00404BB5" w:rsidRDefault="007969E4" w:rsidP="007969E4">
            <w:pPr>
              <w:pStyle w:val="B1"/>
              <w:ind w:left="284"/>
              <w:rPr>
                <w:i/>
                <w:iCs/>
                <w:lang w:eastAsia="zh-CN"/>
              </w:rPr>
            </w:pPr>
            <w:r w:rsidRPr="00404BB5">
              <w:rPr>
                <w:i/>
                <w:iCs/>
                <w:lang w:eastAsia="zh-CN"/>
              </w:rPr>
              <w:t>f.</w:t>
            </w:r>
            <w:r w:rsidRPr="00404BB5">
              <w:rPr>
                <w:i/>
                <w:iCs/>
                <w:lang w:eastAsia="zh-CN"/>
              </w:rPr>
              <w:tab/>
              <w:t>BSs are transmitting with full power or are silent with a load probability, i.e. x% of the BSs is randomly selected to transmit and the rest remain silent. See § 6.</w:t>
            </w:r>
          </w:p>
          <w:p w14:paraId="1E473953" w14:textId="7ACB3C66" w:rsidR="007969E4" w:rsidRPr="00404BB5" w:rsidRDefault="007969E4" w:rsidP="007969E4">
            <w:pPr>
              <w:pStyle w:val="B1"/>
              <w:rPr>
                <w:i/>
                <w:iCs/>
                <w:lang w:eastAsia="zh-CN"/>
              </w:rPr>
            </w:pPr>
            <w:r w:rsidRPr="00404BB5">
              <w:rPr>
                <w:i/>
                <w:iCs/>
                <w:lang w:eastAsia="zh-CN"/>
              </w:rPr>
              <w:t>The value of x can either be a single number or selected randomly from a range in each snapshot.</w:t>
            </w:r>
          </w:p>
          <w:p w14:paraId="2D6ED6AE" w14:textId="5501769B" w:rsidR="007969E4" w:rsidRPr="00404BB5" w:rsidRDefault="007969E4" w:rsidP="007969E4">
            <w:pPr>
              <w:pStyle w:val="B1"/>
              <w:rPr>
                <w:i/>
                <w:iCs/>
                <w:lang w:eastAsia="zh-CN"/>
              </w:rPr>
            </w:pPr>
            <w:r w:rsidRPr="00404BB5">
              <w:rPr>
                <w:i/>
                <w:iCs/>
                <w:lang w:eastAsia="zh-CN"/>
              </w:rPr>
              <w:t>For those BSs that transmit, the power per UE is calculated as follows:</w:t>
            </w:r>
          </w:p>
          <w:p w14:paraId="102EAD87" w14:textId="49E62103" w:rsidR="007969E4" w:rsidRPr="00404BB5" w:rsidRDefault="007969E4" w:rsidP="007969E4">
            <w:pPr>
              <w:pStyle w:val="B1"/>
              <w:rPr>
                <w:i/>
                <w:iCs/>
                <w:lang w:eastAsia="zh-CN"/>
              </w:rPr>
            </w:pPr>
            <w:r w:rsidRPr="00404BB5">
              <w:rPr>
                <w:i/>
                <w:iCs/>
                <w:lang w:eastAsia="zh-CN"/>
              </w:rPr>
              <w:t xml:space="preserve">Let </w:t>
            </w:r>
            <m:oMath>
              <m:sSubSup>
                <m:sSubSupPr>
                  <m:ctrlPr>
                    <w:rPr>
                      <w:rFonts w:ascii="Cambria Math" w:eastAsia="MS Mincho" w:hAnsi="Cambria Math"/>
                      <w:i/>
                      <w:iCs/>
                      <w:lang w:val="en-US"/>
                    </w:rPr>
                  </m:ctrlPr>
                </m:sSubSupPr>
                <m:e>
                  <m:r>
                    <w:rPr>
                      <w:rFonts w:ascii="Cambria Math" w:eastAsia="MS Mincho"/>
                      <w:lang w:val="en-US"/>
                    </w:rPr>
                    <m:t>P</m:t>
                  </m:r>
                </m:e>
                <m:sub>
                  <m:r>
                    <w:rPr>
                      <w:rFonts w:ascii="Cambria Math" w:eastAsia="MS Mincho"/>
                      <w:lang w:val="en-US"/>
                    </w:rPr>
                    <m:t>BS</m:t>
                  </m:r>
                </m:sub>
                <m:sup>
                  <m:r>
                    <w:rPr>
                      <w:rFonts w:ascii="Cambria Math" w:eastAsia="MS Mincho"/>
                      <w:lang w:val="en-US"/>
                    </w:rPr>
                    <m:t>Max</m:t>
                  </m:r>
                </m:sup>
              </m:sSubSup>
            </m:oMath>
            <w:r w:rsidRPr="00404BB5">
              <w:rPr>
                <w:i/>
                <w:iCs/>
                <w:lang w:eastAsia="zh-CN"/>
              </w:rPr>
              <w:t xml:space="preserve">  denote the maximum transmit power of BS</w:t>
            </w:r>
          </w:p>
          <w:p w14:paraId="69C3BF20" w14:textId="61D8FD34" w:rsidR="007969E4" w:rsidRPr="00404BB5" w:rsidRDefault="007969E4" w:rsidP="007969E4">
            <w:pPr>
              <w:pStyle w:val="B1"/>
              <w:rPr>
                <w:i/>
                <w:iCs/>
                <w:lang w:eastAsia="zh-CN"/>
              </w:rPr>
            </w:pPr>
            <w:r w:rsidRPr="00404BB5">
              <w:rPr>
                <w:i/>
                <w:iCs/>
                <w:lang w:eastAsia="zh-CN"/>
              </w:rPr>
              <w:t xml:space="preserve">  </w:t>
            </w:r>
            <w:r w:rsidRPr="00404BB5">
              <w:rPr>
                <w:i/>
                <w:iCs/>
                <w:highlight w:val="yellow"/>
                <w:lang w:eastAsia="zh-CN"/>
              </w:rPr>
              <w:t>M = n x K is the number of all available RBs for each BS</w:t>
            </w:r>
          </w:p>
          <w:p w14:paraId="1588197A" w14:textId="4B35C9E4" w:rsidR="007969E4" w:rsidRPr="00404BB5" w:rsidRDefault="007969E4" w:rsidP="007969E4">
            <w:pPr>
              <w:pStyle w:val="B1"/>
              <w:rPr>
                <w:i/>
                <w:iCs/>
                <w:lang w:eastAsia="zh-CN"/>
              </w:rPr>
            </w:pPr>
            <w:r w:rsidRPr="00404BB5">
              <w:rPr>
                <w:i/>
                <w:iCs/>
                <w:lang w:eastAsia="zh-CN"/>
              </w:rPr>
              <w:t xml:space="preserve">  </w:t>
            </w:r>
            <m:oMath>
              <m:sSubSup>
                <m:sSubSupPr>
                  <m:ctrlPr>
                    <w:rPr>
                      <w:rFonts w:ascii="Cambria Math" w:eastAsia="MS Mincho" w:hAnsi="Cambria Math"/>
                      <w:i/>
                      <w:iCs/>
                      <w:lang w:val="en-US"/>
                    </w:rPr>
                  </m:ctrlPr>
                </m:sSubSupPr>
                <m:e>
                  <m:r>
                    <w:rPr>
                      <w:rFonts w:ascii="Cambria Math" w:eastAsia="MS Mincho"/>
                      <w:lang w:val="en-US"/>
                    </w:rPr>
                    <m:t>P</m:t>
                  </m:r>
                </m:e>
                <m:sub>
                  <m:r>
                    <w:rPr>
                      <w:rFonts w:ascii="Cambria Math" w:eastAsia="MS Mincho"/>
                      <w:lang w:val="en-US"/>
                    </w:rPr>
                    <m:t>BS</m:t>
                  </m:r>
                </m:sub>
                <m:sup>
                  <m:r>
                    <w:rPr>
                      <w:rFonts w:ascii="Cambria Math" w:eastAsia="MS Mincho"/>
                      <w:lang w:val="en-US"/>
                    </w:rPr>
                    <m:t>UE</m:t>
                  </m:r>
                </m:sup>
              </m:sSubSup>
              <m:r>
                <w:rPr>
                  <w:rFonts w:ascii="Cambria Math" w:eastAsia="MS Mincho"/>
                  <w:lang w:val="en-US"/>
                </w:rPr>
                <m:t xml:space="preserve"> </m:t>
              </m:r>
            </m:oMath>
            <w:r w:rsidRPr="00404BB5">
              <w:rPr>
                <w:i/>
                <w:iCs/>
                <w:lang w:eastAsia="zh-CN"/>
              </w:rPr>
              <w:t xml:space="preserve">is the transmit power from BS to the “chosen” UE, and </w:t>
            </w:r>
          </w:p>
          <w:p w14:paraId="2146118C" w14:textId="5C76A04F" w:rsidR="007969E4" w:rsidRPr="00404BB5" w:rsidRDefault="007969E4" w:rsidP="007969E4">
            <w:pPr>
              <w:pStyle w:val="B1"/>
              <w:rPr>
                <w:i/>
                <w:iCs/>
                <w:lang w:eastAsia="zh-CN"/>
              </w:rPr>
            </w:pPr>
            <w:r w:rsidRPr="00404BB5">
              <w:rPr>
                <w:i/>
                <w:iCs/>
                <w:lang w:eastAsia="zh-CN"/>
              </w:rPr>
              <w:t xml:space="preserve"> </w:t>
            </w:r>
            <w:r w:rsidRPr="00404BB5">
              <w:rPr>
                <w:i/>
                <w:iCs/>
                <w:highlight w:val="yellow"/>
                <w:lang w:eastAsia="zh-CN"/>
              </w:rPr>
              <w:t>n is the number of resource blocks per UE,</w:t>
            </w:r>
          </w:p>
          <w:p w14:paraId="181BF27E" w14:textId="263319AD" w:rsidR="007969E4" w:rsidRPr="00404BB5" w:rsidRDefault="00000000" w:rsidP="007969E4">
            <w:pPr>
              <w:pStyle w:val="B1"/>
              <w:jc w:val="center"/>
              <w:rPr>
                <w:i/>
                <w:iCs/>
                <w:lang w:eastAsia="zh-CN"/>
              </w:rPr>
            </w:pPr>
            <m:oMath>
              <m:sSubSup>
                <m:sSubSupPr>
                  <m:ctrlPr>
                    <w:rPr>
                      <w:rFonts w:ascii="Cambria Math" w:eastAsia="MS Mincho" w:hAnsi="Cambria Math"/>
                      <w:i/>
                      <w:iCs/>
                      <w:lang w:val="en-US"/>
                    </w:rPr>
                  </m:ctrlPr>
                </m:sSubSupPr>
                <m:e>
                  <m:r>
                    <w:rPr>
                      <w:rFonts w:ascii="Cambria Math" w:eastAsia="MS Mincho"/>
                      <w:lang w:val="en-US"/>
                    </w:rPr>
                    <m:t>P</m:t>
                  </m:r>
                </m:e>
                <m:sub>
                  <m:r>
                    <w:rPr>
                      <w:rFonts w:ascii="Cambria Math" w:eastAsia="MS Mincho"/>
                      <w:lang w:val="en-US"/>
                    </w:rPr>
                    <m:t>BS</m:t>
                  </m:r>
                </m:sub>
                <m:sup>
                  <m:r>
                    <w:rPr>
                      <w:rFonts w:ascii="Cambria Math" w:eastAsia="MS Mincho"/>
                      <w:lang w:val="en-US"/>
                    </w:rPr>
                    <m:t>UE</m:t>
                  </m:r>
                </m:sup>
              </m:sSubSup>
              <m:r>
                <w:rPr>
                  <w:rFonts w:ascii="Cambria Math" w:eastAsia="MS Mincho"/>
                  <w:lang w:val="en-US"/>
                </w:rPr>
                <m:t>=</m:t>
              </m:r>
              <m:sSubSup>
                <m:sSubSupPr>
                  <m:ctrlPr>
                    <w:rPr>
                      <w:rFonts w:ascii="Cambria Math" w:eastAsia="MS Mincho" w:hAnsi="Cambria Math"/>
                      <w:i/>
                      <w:iCs/>
                      <w:lang w:val="en-US"/>
                    </w:rPr>
                  </m:ctrlPr>
                </m:sSubSupPr>
                <m:e>
                  <m:r>
                    <w:rPr>
                      <w:rFonts w:ascii="Cambria Math" w:eastAsia="MS Mincho"/>
                      <w:lang w:val="en-US"/>
                    </w:rPr>
                    <m:t>P</m:t>
                  </m:r>
                </m:e>
                <m:sub>
                  <m:r>
                    <w:rPr>
                      <w:rFonts w:ascii="Cambria Math" w:eastAsia="MS Mincho"/>
                      <w:lang w:val="en-US"/>
                    </w:rPr>
                    <m:t>BS</m:t>
                  </m:r>
                </m:sub>
                <m:sup>
                  <m:r>
                    <w:rPr>
                      <w:rFonts w:ascii="Cambria Math" w:eastAsia="MS Mincho"/>
                      <w:lang w:val="en-US"/>
                    </w:rPr>
                    <m:t>Max</m:t>
                  </m:r>
                </m:sup>
              </m:sSubSup>
              <m:f>
                <m:fPr>
                  <m:ctrlPr>
                    <w:rPr>
                      <w:rFonts w:ascii="Cambria Math" w:eastAsia="MS Mincho" w:hAnsi="Cambria Math"/>
                      <w:i/>
                      <w:iCs/>
                      <w:lang w:val="en-US"/>
                    </w:rPr>
                  </m:ctrlPr>
                </m:fPr>
                <m:num>
                  <m:r>
                    <w:rPr>
                      <w:rFonts w:ascii="Cambria Math" w:eastAsia="MS Mincho"/>
                      <w:lang w:val="en-US"/>
                    </w:rPr>
                    <m:t>n</m:t>
                  </m:r>
                </m:num>
                <m:den>
                  <m:r>
                    <w:rPr>
                      <w:rFonts w:ascii="Cambria Math" w:eastAsia="MS Mincho"/>
                      <w:lang w:val="en-US"/>
                    </w:rPr>
                    <m:t>M</m:t>
                  </m:r>
                </m:den>
              </m:f>
            </m:oMath>
            <w:r w:rsidR="007969E4" w:rsidRPr="00404BB5">
              <w:rPr>
                <w:i/>
                <w:iCs/>
                <w:lang w:eastAsia="zh-CN"/>
              </w:rPr>
              <w:tab/>
              <w:t xml:space="preserve"> </w:t>
            </w:r>
            <w:r w:rsidR="007969E4" w:rsidRPr="00404BB5">
              <w:rPr>
                <w:i/>
                <w:iCs/>
                <w:lang w:eastAsia="zh-CN"/>
              </w:rPr>
              <w:tab/>
              <w:t>(5)</w:t>
            </w:r>
          </w:p>
          <w:p w14:paraId="06FCCCC1" w14:textId="522EBB85" w:rsidR="007969E4" w:rsidRPr="00404BB5" w:rsidRDefault="007969E4" w:rsidP="009267C2">
            <w:pPr>
              <w:pStyle w:val="B1"/>
              <w:ind w:left="0" w:firstLine="0"/>
              <w:rPr>
                <w:i/>
                <w:iCs/>
                <w:lang w:eastAsia="zh-CN"/>
              </w:rPr>
            </w:pPr>
            <w:r w:rsidRPr="00404BB5">
              <w:rPr>
                <w:i/>
                <w:iCs/>
                <w:lang w:eastAsia="zh-CN"/>
              </w:rPr>
              <w:t>…</w:t>
            </w:r>
          </w:p>
        </w:tc>
      </w:tr>
    </w:tbl>
    <w:p w14:paraId="7AFD0767" w14:textId="77777777" w:rsidR="00CF517A" w:rsidRDefault="00CF517A" w:rsidP="009267C2">
      <w:pPr>
        <w:pStyle w:val="B1"/>
        <w:ind w:left="0" w:firstLine="0"/>
        <w:rPr>
          <w:lang w:eastAsia="zh-CN"/>
        </w:rPr>
      </w:pPr>
    </w:p>
    <w:p w14:paraId="1FCBCEE4" w14:textId="4B118A8C" w:rsidR="009267C2" w:rsidRDefault="00CF517A" w:rsidP="009267C2">
      <w:pPr>
        <w:pStyle w:val="B1"/>
        <w:ind w:left="0" w:firstLine="0"/>
        <w:rPr>
          <w:lang w:eastAsia="zh-CN"/>
        </w:rPr>
      </w:pPr>
      <w:r>
        <w:rPr>
          <w:lang w:eastAsia="zh-CN"/>
        </w:rPr>
        <w:t>Hence, no multi-user spatial beam-forming is used in the downlink simulation methodology.</w:t>
      </w:r>
    </w:p>
    <w:p w14:paraId="16769AE6" w14:textId="53F2BEC9" w:rsidR="003E6285" w:rsidRPr="00A20628" w:rsidRDefault="00CF517A" w:rsidP="009267C2">
      <w:pPr>
        <w:pStyle w:val="B1"/>
        <w:ind w:left="0" w:firstLine="0"/>
        <w:rPr>
          <w:b/>
          <w:bCs/>
          <w:lang w:eastAsia="zh-CN"/>
        </w:rPr>
      </w:pPr>
      <w:r w:rsidRPr="00A20628">
        <w:rPr>
          <w:b/>
          <w:bCs/>
          <w:lang w:eastAsia="zh-CN"/>
        </w:rPr>
        <w:t>Observation</w:t>
      </w:r>
      <w:r w:rsidR="00E15AF7">
        <w:rPr>
          <w:b/>
          <w:bCs/>
          <w:lang w:eastAsia="zh-CN"/>
        </w:rPr>
        <w:t xml:space="preserve"> 3</w:t>
      </w:r>
      <w:r w:rsidRPr="00A20628">
        <w:rPr>
          <w:b/>
          <w:bCs/>
          <w:lang w:eastAsia="zh-CN"/>
        </w:rPr>
        <w:t xml:space="preserve">: In M2101 downlink simulation methodology, no multi-user spatial beam-forming is </w:t>
      </w:r>
      <w:r w:rsidR="003C7CF5">
        <w:rPr>
          <w:b/>
          <w:bCs/>
          <w:lang w:eastAsia="zh-CN"/>
        </w:rPr>
        <w:t>considered</w:t>
      </w:r>
      <w:r w:rsidRPr="00A20628">
        <w:rPr>
          <w:b/>
          <w:bCs/>
          <w:lang w:eastAsia="zh-CN"/>
        </w:rPr>
        <w:t>.</w:t>
      </w:r>
    </w:p>
    <w:p w14:paraId="1EA8D59D" w14:textId="549E6D3F" w:rsidR="00CF517A" w:rsidRDefault="004E14AB" w:rsidP="009267C2">
      <w:pPr>
        <w:pStyle w:val="B1"/>
        <w:ind w:left="0" w:firstLine="0"/>
        <w:rPr>
          <w:lang w:eastAsia="zh-CN"/>
        </w:rPr>
      </w:pPr>
      <w:r>
        <w:rPr>
          <w:lang w:eastAsia="zh-CN"/>
        </w:rPr>
        <w:t>If considering multi-user spatial beam-forming techniques, it is actually applying MU-MIMO at the downlink, which means the same set of RBs are used for multiple co-scheduled UEs at the same time. In our understanding, if co-scheduled UEs are chosen ideally, it is equivalent to increase the number of snapshots in the downlink simulation, and if the number of snapshots is sufficient for one simulated scenario, it has no impact on the assessment of interference and accuracy of studies.</w:t>
      </w:r>
    </w:p>
    <w:p w14:paraId="79DB1698" w14:textId="3E3A5B4A" w:rsidR="004E14AB" w:rsidRPr="00A20628" w:rsidRDefault="004E14AB" w:rsidP="009267C2">
      <w:pPr>
        <w:pStyle w:val="B1"/>
        <w:ind w:left="0" w:firstLine="0"/>
        <w:rPr>
          <w:b/>
          <w:bCs/>
          <w:lang w:eastAsia="zh-CN"/>
        </w:rPr>
      </w:pPr>
      <w:r w:rsidRPr="00A20628">
        <w:rPr>
          <w:b/>
          <w:bCs/>
          <w:lang w:eastAsia="zh-CN"/>
        </w:rPr>
        <w:t>Observation</w:t>
      </w:r>
      <w:r w:rsidR="00E15AF7">
        <w:rPr>
          <w:b/>
          <w:bCs/>
          <w:lang w:eastAsia="zh-CN"/>
        </w:rPr>
        <w:t xml:space="preserve"> 4</w:t>
      </w:r>
      <w:r w:rsidRPr="00A20628">
        <w:rPr>
          <w:b/>
          <w:bCs/>
          <w:lang w:eastAsia="zh-CN"/>
        </w:rPr>
        <w:t>: With sufficient number of snapshots for one simulated scenario and ideally paired UEs for co-scheduling, multi-user spatial beam-forming does not improve the assessment of interference and accuracy of studies.</w:t>
      </w:r>
    </w:p>
    <w:p w14:paraId="17436C79" w14:textId="573045BB" w:rsidR="003E6285" w:rsidRPr="00A20628" w:rsidRDefault="004E14AB" w:rsidP="009267C2">
      <w:pPr>
        <w:pStyle w:val="B1"/>
        <w:ind w:left="0" w:firstLine="0"/>
        <w:rPr>
          <w:b/>
          <w:bCs/>
          <w:lang w:eastAsia="zh-CN"/>
        </w:rPr>
      </w:pPr>
      <w:r w:rsidRPr="00A20628">
        <w:rPr>
          <w:b/>
          <w:bCs/>
          <w:lang w:eastAsia="zh-CN"/>
        </w:rPr>
        <w:t>Proposal</w:t>
      </w:r>
      <w:r w:rsidR="00E15AF7">
        <w:rPr>
          <w:b/>
          <w:bCs/>
          <w:lang w:eastAsia="zh-CN"/>
        </w:rPr>
        <w:t xml:space="preserve"> 2</w:t>
      </w:r>
      <w:r w:rsidRPr="00A20628">
        <w:rPr>
          <w:b/>
          <w:bCs/>
          <w:lang w:eastAsia="zh-CN"/>
        </w:rPr>
        <w:t>: RAN4 to reply WP5D that no multi-user spatial beam-forming is needed for assessing AAS implementation with a sufficient number of snapshots for one simulated scenario and ideally paired UEs for co-scheduling.</w:t>
      </w:r>
    </w:p>
    <w:p w14:paraId="0D7DAC40" w14:textId="77777777" w:rsidR="004E14AB" w:rsidRDefault="004E14AB"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55366DBA" w:rsidR="009267C2" w:rsidRDefault="00684D98" w:rsidP="009267C2">
      <w:pPr>
        <w:pStyle w:val="B1"/>
        <w:ind w:left="0" w:firstLine="0"/>
        <w:rPr>
          <w:lang w:eastAsia="zh-CN"/>
        </w:rPr>
      </w:pPr>
      <w:r>
        <w:rPr>
          <w:lang w:eastAsia="zh-CN"/>
        </w:rPr>
        <w:t>In this contribution, we have the following observations and proposals for additional information requests from WP5D:</w:t>
      </w:r>
    </w:p>
    <w:p w14:paraId="440A0DD5" w14:textId="77777777" w:rsidR="00527EC5" w:rsidRPr="00313B63" w:rsidRDefault="00527EC5" w:rsidP="00527EC5">
      <w:pPr>
        <w:pStyle w:val="B1"/>
        <w:ind w:left="0" w:firstLine="0"/>
        <w:rPr>
          <w:b/>
          <w:bCs/>
          <w:lang w:eastAsia="zh-CN"/>
        </w:rPr>
      </w:pPr>
      <w:r w:rsidRPr="00313B63">
        <w:rPr>
          <w:b/>
          <w:bCs/>
          <w:lang w:eastAsia="zh-CN"/>
        </w:rPr>
        <w:t>Observation</w:t>
      </w:r>
      <w:r>
        <w:rPr>
          <w:b/>
          <w:bCs/>
          <w:lang w:eastAsia="zh-CN"/>
        </w:rPr>
        <w:t xml:space="preserve"> 1</w:t>
      </w:r>
      <w:r w:rsidRPr="00313B63">
        <w:rPr>
          <w:b/>
          <w:bCs/>
          <w:lang w:eastAsia="zh-CN"/>
        </w:rPr>
        <w:t>: Evaluation may be interesting for a channel bandwidth 100 MHz ~ 400 MHz at 15GHz for the cases where spatial</w:t>
      </w:r>
      <w:r>
        <w:rPr>
          <w:b/>
          <w:bCs/>
          <w:lang w:eastAsia="zh-CN"/>
        </w:rPr>
        <w:t xml:space="preserve"> </w:t>
      </w:r>
      <w:r w:rsidRPr="00313B63">
        <w:rPr>
          <w:b/>
          <w:bCs/>
          <w:lang w:eastAsia="zh-CN"/>
        </w:rPr>
        <w:t>sensitivity of ACLR is observed for 5MHz channel bandwidth at 2GHz.</w:t>
      </w:r>
    </w:p>
    <w:p w14:paraId="6D7194F3" w14:textId="77777777" w:rsidR="00527EC5" w:rsidRDefault="00527EC5" w:rsidP="00527EC5">
      <w:pPr>
        <w:pStyle w:val="B1"/>
        <w:ind w:left="0" w:firstLine="0"/>
        <w:rPr>
          <w:b/>
          <w:bCs/>
          <w:lang w:eastAsia="zh-CN"/>
        </w:rPr>
      </w:pPr>
      <w:r w:rsidRPr="00E15AF7">
        <w:rPr>
          <w:b/>
          <w:bCs/>
          <w:lang w:eastAsia="zh-CN"/>
        </w:rPr>
        <w:lastRenderedPageBreak/>
        <w:t>Observation 2: The current coexistence simulation assumes the worst-case scenario in terms of spatial ACLR by applying a uniform ACIR value, which is the basis for defining the minimum ACIR requirement.</w:t>
      </w:r>
    </w:p>
    <w:p w14:paraId="7BFF735A" w14:textId="77777777" w:rsidR="00527EC5" w:rsidRPr="00A20628" w:rsidRDefault="00527EC5" w:rsidP="00527EC5">
      <w:pPr>
        <w:pStyle w:val="B1"/>
        <w:ind w:left="0" w:firstLine="0"/>
        <w:rPr>
          <w:b/>
          <w:bCs/>
          <w:lang w:eastAsia="zh-CN"/>
        </w:rPr>
      </w:pPr>
      <w:r w:rsidRPr="00A20628">
        <w:rPr>
          <w:b/>
          <w:bCs/>
          <w:lang w:eastAsia="zh-CN"/>
        </w:rPr>
        <w:t>Observation</w:t>
      </w:r>
      <w:r>
        <w:rPr>
          <w:b/>
          <w:bCs/>
          <w:lang w:eastAsia="zh-CN"/>
        </w:rPr>
        <w:t xml:space="preserve"> 3</w:t>
      </w:r>
      <w:r w:rsidRPr="00A20628">
        <w:rPr>
          <w:b/>
          <w:bCs/>
          <w:lang w:eastAsia="zh-CN"/>
        </w:rPr>
        <w:t xml:space="preserve">: In M2101 downlink simulation methodology, no multi-user spatial beam-forming is </w:t>
      </w:r>
      <w:r>
        <w:rPr>
          <w:b/>
          <w:bCs/>
          <w:lang w:eastAsia="zh-CN"/>
        </w:rPr>
        <w:t>considered</w:t>
      </w:r>
      <w:r w:rsidRPr="00A20628">
        <w:rPr>
          <w:b/>
          <w:bCs/>
          <w:lang w:eastAsia="zh-CN"/>
        </w:rPr>
        <w:t>.</w:t>
      </w:r>
    </w:p>
    <w:p w14:paraId="6B8F8573" w14:textId="20C5F64A" w:rsidR="00527EC5" w:rsidRPr="00E15AF7" w:rsidRDefault="00527EC5" w:rsidP="00527EC5">
      <w:pPr>
        <w:pStyle w:val="B1"/>
        <w:ind w:left="0" w:firstLine="0"/>
        <w:rPr>
          <w:b/>
          <w:bCs/>
          <w:lang w:eastAsia="zh-CN"/>
        </w:rPr>
      </w:pPr>
      <w:r w:rsidRPr="00A20628">
        <w:rPr>
          <w:b/>
          <w:bCs/>
          <w:lang w:eastAsia="zh-CN"/>
        </w:rPr>
        <w:t>Observation</w:t>
      </w:r>
      <w:r>
        <w:rPr>
          <w:b/>
          <w:bCs/>
          <w:lang w:eastAsia="zh-CN"/>
        </w:rPr>
        <w:t xml:space="preserve"> 4</w:t>
      </w:r>
      <w:r w:rsidRPr="00A20628">
        <w:rPr>
          <w:b/>
          <w:bCs/>
          <w:lang w:eastAsia="zh-CN"/>
        </w:rPr>
        <w:t>: With sufficient number of snapshots for one simulated scenario and ideally paired UEs for co-scheduling, multi-user spatial beam-forming does not improve the assessment of interference and accuracy of studies.</w:t>
      </w:r>
    </w:p>
    <w:p w14:paraId="396C227E" w14:textId="77777777" w:rsidR="00527EC5" w:rsidRPr="00E15AF7" w:rsidRDefault="00527EC5" w:rsidP="00527EC5">
      <w:pPr>
        <w:pStyle w:val="B1"/>
        <w:ind w:left="0" w:firstLine="0"/>
        <w:rPr>
          <w:b/>
          <w:bCs/>
          <w:lang w:eastAsia="zh-CN"/>
        </w:rPr>
      </w:pPr>
      <w:r w:rsidRPr="00E15AF7">
        <w:rPr>
          <w:b/>
          <w:bCs/>
          <w:lang w:eastAsia="zh-CN"/>
        </w:rPr>
        <w:t xml:space="preserve">Proposal 1: </w:t>
      </w:r>
      <w:r>
        <w:rPr>
          <w:b/>
          <w:bCs/>
          <w:lang w:eastAsia="zh-CN"/>
        </w:rPr>
        <w:t>RAN4 to reply WP5D that</w:t>
      </w:r>
      <w:r w:rsidRPr="00E15AF7">
        <w:rPr>
          <w:b/>
          <w:bCs/>
          <w:lang w:eastAsia="zh-CN"/>
        </w:rPr>
        <w:t xml:space="preserve"> the current coexistence methodology is sufficient without a need of taking into account spatial ACLR.</w:t>
      </w:r>
    </w:p>
    <w:p w14:paraId="701BFA96" w14:textId="172FA32A" w:rsidR="00684D98" w:rsidRDefault="00540126" w:rsidP="009267C2">
      <w:pPr>
        <w:pStyle w:val="B1"/>
        <w:ind w:left="0" w:firstLine="0"/>
        <w:rPr>
          <w:lang w:eastAsia="zh-CN"/>
        </w:rPr>
      </w:pPr>
      <w:r w:rsidRPr="00A20628">
        <w:rPr>
          <w:b/>
          <w:bCs/>
          <w:lang w:eastAsia="zh-CN"/>
        </w:rPr>
        <w:t>Proposal</w:t>
      </w:r>
      <w:r>
        <w:rPr>
          <w:b/>
          <w:bCs/>
          <w:lang w:eastAsia="zh-CN"/>
        </w:rPr>
        <w:t xml:space="preserve"> 2</w:t>
      </w:r>
      <w:r w:rsidRPr="00A20628">
        <w:rPr>
          <w:b/>
          <w:bCs/>
          <w:lang w:eastAsia="zh-CN"/>
        </w:rPr>
        <w:t>: RAN4 to reply WP5D that no multi-user spatial beam-forming is needed for assessing AAS implementation with a sufficient number of snapshots for one simulated scenario and ideally paired UEs for co-scheduling.</w:t>
      </w: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489D8118" w:rsidR="009267C2" w:rsidRDefault="009267C2" w:rsidP="009267C2">
      <w:pPr>
        <w:pStyle w:val="B1"/>
        <w:ind w:left="0" w:firstLine="0"/>
        <w:rPr>
          <w:lang w:eastAsia="zh-CN"/>
        </w:rPr>
      </w:pPr>
      <w:r>
        <w:rPr>
          <w:lang w:eastAsia="zh-CN"/>
        </w:rPr>
        <w:t xml:space="preserve">[1] </w:t>
      </w:r>
      <w:r w:rsidR="00966DA4" w:rsidRPr="00966DA4">
        <w:rPr>
          <w:lang w:eastAsia="zh-CN"/>
        </w:rPr>
        <w:t>R4-2411520</w:t>
      </w:r>
      <w:r w:rsidR="00966DA4" w:rsidRPr="00966DA4">
        <w:rPr>
          <w:lang w:eastAsia="zh-CN"/>
        </w:rPr>
        <w:tab/>
        <w:t>Views on Additional AAS aspects</w:t>
      </w:r>
      <w:r w:rsidR="00966DA4">
        <w:rPr>
          <w:lang w:eastAsia="zh-CN"/>
        </w:rPr>
        <w:t>, Qualcomm</w:t>
      </w:r>
    </w:p>
    <w:p w14:paraId="6DB23E50" w14:textId="7DAE3935" w:rsidR="00966DA4" w:rsidRDefault="00966DA4" w:rsidP="009267C2">
      <w:pPr>
        <w:pStyle w:val="B1"/>
        <w:ind w:left="0" w:firstLine="0"/>
        <w:rPr>
          <w:lang w:eastAsia="zh-CN"/>
        </w:rPr>
      </w:pPr>
      <w:r>
        <w:rPr>
          <w:lang w:eastAsia="zh-CN"/>
        </w:rPr>
        <w:t xml:space="preserve">[2] </w:t>
      </w:r>
      <w:r w:rsidR="00DB2344" w:rsidRPr="00DB2344">
        <w:rPr>
          <w:lang w:eastAsia="zh-CN"/>
        </w:rPr>
        <w:t>R4-2411874</w:t>
      </w:r>
      <w:r w:rsidR="00DB2344" w:rsidRPr="00DB2344">
        <w:rPr>
          <w:lang w:eastAsia="zh-CN"/>
        </w:rPr>
        <w:tab/>
        <w:t>On general aspects related to IMT parameter SI</w:t>
      </w:r>
      <w:r w:rsidR="00DB2344">
        <w:rPr>
          <w:lang w:eastAsia="zh-CN"/>
        </w:rPr>
        <w:t>, Ericsson</w:t>
      </w:r>
    </w:p>
    <w:p w14:paraId="5FAAE77E" w14:textId="1DD64584" w:rsidR="00DB2344" w:rsidRDefault="00DB2344" w:rsidP="009267C2">
      <w:pPr>
        <w:pStyle w:val="B1"/>
        <w:ind w:left="0" w:firstLine="0"/>
        <w:rPr>
          <w:lang w:eastAsia="zh-CN"/>
        </w:rPr>
      </w:pPr>
      <w:r>
        <w:rPr>
          <w:lang w:eastAsia="zh-CN"/>
        </w:rPr>
        <w:t>[3]</w:t>
      </w:r>
      <w:r w:rsidRPr="00DB2344">
        <w:t xml:space="preserve"> </w:t>
      </w:r>
      <w:r w:rsidRPr="00DB2344">
        <w:rPr>
          <w:lang w:eastAsia="zh-CN"/>
        </w:rPr>
        <w:t>R4-2411873</w:t>
      </w:r>
      <w:r w:rsidRPr="00DB2344">
        <w:rPr>
          <w:lang w:eastAsia="zh-CN"/>
        </w:rPr>
        <w:tab/>
        <w:t>On the topic of additional information requested by ITU-R WP 5D</w:t>
      </w:r>
      <w:r>
        <w:rPr>
          <w:lang w:eastAsia="zh-CN"/>
        </w:rPr>
        <w:t>, Ericsson</w:t>
      </w:r>
    </w:p>
    <w:p w14:paraId="62BD9998" w14:textId="739C2A92" w:rsidR="00DB2344" w:rsidRDefault="00DB2344" w:rsidP="009267C2">
      <w:pPr>
        <w:pStyle w:val="B1"/>
        <w:ind w:left="0" w:firstLine="0"/>
        <w:rPr>
          <w:lang w:eastAsia="zh-CN"/>
        </w:rPr>
      </w:pPr>
      <w:r>
        <w:rPr>
          <w:lang w:eastAsia="zh-CN"/>
        </w:rPr>
        <w:t xml:space="preserve">[4] </w:t>
      </w:r>
      <w:r w:rsidRPr="00DB2344">
        <w:rPr>
          <w:lang w:eastAsia="zh-CN"/>
        </w:rPr>
        <w:t>R4-2411948</w:t>
      </w:r>
      <w:r w:rsidRPr="00DB2344">
        <w:rPr>
          <w:lang w:eastAsia="zh-CN"/>
        </w:rPr>
        <w:tab/>
        <w:t>IMT parameters: General system and UE aspects</w:t>
      </w:r>
      <w:r>
        <w:rPr>
          <w:lang w:eastAsia="zh-CN"/>
        </w:rPr>
        <w:t>, Nokia</w:t>
      </w:r>
    </w:p>
    <w:p w14:paraId="0AF4D134" w14:textId="28633DB5" w:rsidR="00DB2344" w:rsidRDefault="00DB2344" w:rsidP="009267C2">
      <w:pPr>
        <w:pStyle w:val="B1"/>
        <w:ind w:left="0" w:firstLine="0"/>
        <w:rPr>
          <w:lang w:eastAsia="zh-CN"/>
        </w:rPr>
      </w:pPr>
      <w:r>
        <w:rPr>
          <w:lang w:eastAsia="zh-CN"/>
        </w:rPr>
        <w:t xml:space="preserve">[5] </w:t>
      </w:r>
      <w:r w:rsidRPr="00DB2344">
        <w:rPr>
          <w:lang w:eastAsia="zh-CN"/>
        </w:rPr>
        <w:t>R4-2412592</w:t>
      </w:r>
      <w:r w:rsidRPr="00DB2344">
        <w:rPr>
          <w:lang w:eastAsia="zh-CN"/>
        </w:rPr>
        <w:tab/>
        <w:t>Study of AAS performance in adjacent bands</w:t>
      </w:r>
      <w:r>
        <w:rPr>
          <w:lang w:eastAsia="zh-CN"/>
        </w:rPr>
        <w:t>, Nokia</w:t>
      </w:r>
    </w:p>
    <w:p w14:paraId="642B778B" w14:textId="6D4799BF" w:rsidR="00DB2344" w:rsidRDefault="00DB2344" w:rsidP="009267C2">
      <w:pPr>
        <w:pStyle w:val="B1"/>
        <w:ind w:left="0" w:firstLine="0"/>
        <w:rPr>
          <w:lang w:eastAsia="zh-CN"/>
        </w:rPr>
      </w:pPr>
      <w:r>
        <w:rPr>
          <w:lang w:eastAsia="zh-CN"/>
        </w:rPr>
        <w:t xml:space="preserve">[6] </w:t>
      </w:r>
      <w:r w:rsidRPr="00DB2344">
        <w:rPr>
          <w:lang w:eastAsia="zh-CN"/>
        </w:rPr>
        <w:t>R4-2413368</w:t>
      </w:r>
      <w:r w:rsidRPr="00DB2344">
        <w:rPr>
          <w:lang w:eastAsia="zh-CN"/>
        </w:rPr>
        <w:tab/>
        <w:t>Impact of beamforming schemes on the coexistence of IMT with other services</w:t>
      </w:r>
      <w:r>
        <w:rPr>
          <w:lang w:eastAsia="zh-CN"/>
        </w:rPr>
        <w:t>, Nokia</w:t>
      </w:r>
    </w:p>
    <w:p w14:paraId="742597E9" w14:textId="65E710F3" w:rsidR="00DB2344" w:rsidRDefault="00DB2344" w:rsidP="009267C2">
      <w:pPr>
        <w:pStyle w:val="B1"/>
        <w:ind w:left="0" w:firstLine="0"/>
        <w:rPr>
          <w:lang w:eastAsia="zh-CN"/>
        </w:rPr>
      </w:pPr>
      <w:r>
        <w:rPr>
          <w:lang w:eastAsia="zh-CN"/>
        </w:rPr>
        <w:t xml:space="preserve">[7] </w:t>
      </w:r>
      <w:r w:rsidRPr="00DB2344">
        <w:rPr>
          <w:lang w:eastAsia="zh-CN"/>
        </w:rPr>
        <w:t>R4-2412713</w:t>
      </w:r>
      <w:r w:rsidRPr="00DB2344">
        <w:rPr>
          <w:lang w:eastAsia="zh-CN"/>
        </w:rPr>
        <w:tab/>
        <w:t>Discussion on other issues in ITU-R LS</w:t>
      </w:r>
      <w:r>
        <w:rPr>
          <w:lang w:eastAsia="zh-CN"/>
        </w:rPr>
        <w:t>, ZTE</w:t>
      </w:r>
    </w:p>
    <w:p w14:paraId="55F42CF0" w14:textId="20FAB821" w:rsidR="00DB2344" w:rsidRDefault="00DB2344" w:rsidP="009267C2">
      <w:pPr>
        <w:pStyle w:val="B1"/>
        <w:ind w:left="0" w:firstLine="0"/>
        <w:rPr>
          <w:lang w:eastAsia="zh-CN"/>
        </w:rPr>
      </w:pPr>
      <w:r>
        <w:rPr>
          <w:lang w:eastAsia="zh-CN"/>
        </w:rPr>
        <w:t xml:space="preserve">[8] </w:t>
      </w:r>
      <w:r w:rsidRPr="00DB2344">
        <w:rPr>
          <w:lang w:eastAsia="zh-CN"/>
        </w:rPr>
        <w:t>R4-2413281</w:t>
      </w:r>
      <w:r w:rsidRPr="00DB2344">
        <w:rPr>
          <w:lang w:eastAsia="zh-CN"/>
        </w:rPr>
        <w:tab/>
        <w:t>AAS modelling considerations for IMT base stations</w:t>
      </w:r>
      <w:r>
        <w:rPr>
          <w:lang w:eastAsia="zh-CN"/>
        </w:rPr>
        <w:t>, Huawei</w:t>
      </w:r>
    </w:p>
    <w:p w14:paraId="5852F1E6" w14:textId="34D07BC5" w:rsidR="00DB2344" w:rsidRDefault="00DB2344" w:rsidP="009267C2">
      <w:pPr>
        <w:pStyle w:val="B1"/>
        <w:ind w:left="0" w:firstLine="0"/>
        <w:rPr>
          <w:lang w:eastAsia="zh-CN"/>
        </w:rPr>
      </w:pPr>
      <w:r>
        <w:rPr>
          <w:lang w:eastAsia="zh-CN"/>
        </w:rPr>
        <w:t xml:space="preserve">[9] </w:t>
      </w:r>
      <w:r w:rsidRPr="00DB2344">
        <w:rPr>
          <w:lang w:eastAsia="zh-CN"/>
        </w:rPr>
        <w:t>R4-2411093</w:t>
      </w:r>
      <w:r w:rsidRPr="00DB2344">
        <w:rPr>
          <w:lang w:eastAsia="zh-CN"/>
        </w:rPr>
        <w:tab/>
        <w:t>TP for other issues (Adjacent channel modelling)</w:t>
      </w:r>
      <w:r>
        <w:rPr>
          <w:lang w:eastAsia="zh-CN"/>
        </w:rPr>
        <w:t>, CATT</w:t>
      </w:r>
    </w:p>
    <w:p w14:paraId="67350A54" w14:textId="26A1A26B" w:rsidR="00DB2344" w:rsidRDefault="00DB2344" w:rsidP="009267C2">
      <w:pPr>
        <w:pStyle w:val="B1"/>
        <w:ind w:left="0" w:firstLine="0"/>
        <w:rPr>
          <w:lang w:eastAsia="zh-CN"/>
        </w:rPr>
      </w:pPr>
      <w:r>
        <w:rPr>
          <w:lang w:eastAsia="zh-CN"/>
        </w:rPr>
        <w:t xml:space="preserve">[10] </w:t>
      </w:r>
      <w:r w:rsidRPr="00DB2344">
        <w:rPr>
          <w:lang w:eastAsia="zh-CN"/>
        </w:rPr>
        <w:t>R4-2411021</w:t>
      </w:r>
      <w:r w:rsidRPr="00DB2344">
        <w:rPr>
          <w:lang w:eastAsia="zh-CN"/>
        </w:rPr>
        <w:tab/>
        <w:t>Text Proposals on MIMO models and PA nonlinearity impacts and ACLR</w:t>
      </w:r>
      <w:r>
        <w:rPr>
          <w:lang w:eastAsia="zh-CN"/>
        </w:rPr>
        <w:t>, Spark</w:t>
      </w:r>
      <w:r w:rsidR="00F728F9">
        <w:rPr>
          <w:lang w:eastAsia="zh-CN"/>
        </w:rPr>
        <w:t xml:space="preserve"> NZ Ltd.</w:t>
      </w:r>
    </w:p>
    <w:p w14:paraId="572339C4" w14:textId="21EBB0AA" w:rsidR="00E749EA" w:rsidRDefault="00E749EA" w:rsidP="009267C2">
      <w:pPr>
        <w:pStyle w:val="B1"/>
        <w:ind w:left="0" w:firstLine="0"/>
        <w:rPr>
          <w:lang w:eastAsia="zh-CN"/>
        </w:rPr>
      </w:pPr>
      <w:r>
        <w:rPr>
          <w:lang w:eastAsia="zh-CN"/>
        </w:rPr>
        <w:t xml:space="preserve">[11] RP-241326 </w:t>
      </w:r>
      <w:r>
        <w:rPr>
          <w:lang w:eastAsia="zh-CN"/>
        </w:rPr>
        <w:tab/>
      </w:r>
      <w:r w:rsidRPr="00E749EA">
        <w:rPr>
          <w:lang w:eastAsia="zh-CN"/>
        </w:rPr>
        <w:t>Revised SID: Study on IMT parameters for NR for 4400 to 4800 MHz, 7125 to 8400 MHz and 14800 to 15350 MHz</w:t>
      </w:r>
      <w:r>
        <w:rPr>
          <w:lang w:eastAsia="zh-CN"/>
        </w:rPr>
        <w:t>, Ericsson</w:t>
      </w:r>
    </w:p>
    <w:p w14:paraId="465DE988" w14:textId="5C1472FA" w:rsidR="005B59CA" w:rsidRDefault="005B59CA" w:rsidP="00FD0B62">
      <w:pPr>
        <w:pStyle w:val="B1"/>
        <w:ind w:left="0" w:firstLine="0"/>
        <w:rPr>
          <w:lang w:eastAsia="zh-CN"/>
        </w:rPr>
      </w:pPr>
      <w:r>
        <w:rPr>
          <w:lang w:eastAsia="zh-CN"/>
        </w:rPr>
        <w:t>[12] R4-2400333</w:t>
      </w:r>
      <w:r>
        <w:rPr>
          <w:lang w:eastAsia="zh-CN"/>
        </w:rPr>
        <w:tab/>
      </w:r>
      <w:r w:rsidR="00FD0B62">
        <w:rPr>
          <w:lang w:eastAsia="zh-CN"/>
        </w:rPr>
        <w:t>LS on Parameters of terrestrial component of IMT for sharing and compatibility studies in the frequency bands 4 400-4 800 MHz, 7 125-8 400 MHz and 14.8-15.35 GHz, ITU-R WP5D</w:t>
      </w:r>
    </w:p>
    <w:p w14:paraId="1BD2526F" w14:textId="00CCFC73" w:rsidR="00872887" w:rsidRDefault="00872887" w:rsidP="009267C2">
      <w:pPr>
        <w:pStyle w:val="B1"/>
        <w:ind w:left="0" w:firstLine="0"/>
        <w:rPr>
          <w:lang w:eastAsia="zh-CN"/>
        </w:rPr>
      </w:pPr>
      <w:r>
        <w:rPr>
          <w:lang w:eastAsia="zh-CN"/>
        </w:rPr>
        <w:t>[1</w:t>
      </w:r>
      <w:r w:rsidR="005B59CA">
        <w:rPr>
          <w:lang w:eastAsia="zh-CN"/>
        </w:rPr>
        <w:t>3</w:t>
      </w:r>
      <w:r>
        <w:rPr>
          <w:lang w:eastAsia="zh-CN"/>
        </w:rPr>
        <w:t xml:space="preserve">] </w:t>
      </w:r>
      <w:r w:rsidRPr="00872887">
        <w:rPr>
          <w:lang w:eastAsia="zh-CN"/>
        </w:rPr>
        <w:t>ITU-R M.2101-0</w:t>
      </w:r>
      <w:r>
        <w:rPr>
          <w:lang w:eastAsia="zh-CN"/>
        </w:rPr>
        <w:t xml:space="preserve">, </w:t>
      </w:r>
      <w:r w:rsidRPr="00872887">
        <w:rPr>
          <w:lang w:eastAsia="zh-CN"/>
        </w:rPr>
        <w:t>Modelling and simulation of IMT networks and systems for use in sharing and compatibility studies</w:t>
      </w:r>
    </w:p>
    <w:p w14:paraId="0D4FE8F3" w14:textId="302583C2" w:rsidR="000F5357" w:rsidRDefault="000F5357" w:rsidP="009267C2">
      <w:pPr>
        <w:pStyle w:val="B1"/>
        <w:ind w:left="0" w:firstLine="0"/>
        <w:rPr>
          <w:lang w:eastAsia="zh-CN"/>
        </w:rPr>
      </w:pPr>
      <w:r>
        <w:rPr>
          <w:lang w:eastAsia="zh-CN"/>
        </w:rPr>
        <w:t>[14]</w:t>
      </w:r>
      <w:r w:rsidRPr="000F5357">
        <w:rPr>
          <w:lang w:eastAsia="zh-CN"/>
        </w:rPr>
        <w:t xml:space="preserve"> E. Sienkiewicz, N. McGowan, B. Göransson, T. Chapman and T. Elfström, "Spatially dependent ACLR modelling," 2014 IEEE Conference on Antenna Measurements &amp; Applications (CAMA), Antibes Juan-les-Pins, France, 2014, pp. 1-4,</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85F46" w14:textId="77777777" w:rsidR="00184C33" w:rsidRPr="00A10429" w:rsidRDefault="00184C33" w:rsidP="0064547A">
      <w:pPr>
        <w:spacing w:after="0"/>
        <w:rPr>
          <w:kern w:val="2"/>
          <w:lang w:eastAsia="zh-CN"/>
        </w:rPr>
      </w:pPr>
      <w:r>
        <w:separator/>
      </w:r>
    </w:p>
  </w:endnote>
  <w:endnote w:type="continuationSeparator" w:id="0">
    <w:p w14:paraId="70F244D7" w14:textId="77777777" w:rsidR="00184C33" w:rsidRPr="00A10429" w:rsidRDefault="00184C3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03AAC" w14:textId="77777777" w:rsidR="00184C33" w:rsidRPr="00A10429" w:rsidRDefault="00184C33" w:rsidP="0064547A">
      <w:pPr>
        <w:spacing w:after="0"/>
        <w:rPr>
          <w:kern w:val="2"/>
          <w:lang w:eastAsia="zh-CN"/>
        </w:rPr>
      </w:pPr>
      <w:r>
        <w:separator/>
      </w:r>
    </w:p>
  </w:footnote>
  <w:footnote w:type="continuationSeparator" w:id="0">
    <w:p w14:paraId="3F737F27" w14:textId="77777777" w:rsidR="00184C33" w:rsidRPr="00A10429" w:rsidRDefault="00184C3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2"/>
  </w:num>
  <w:num w:numId="2" w16cid:durableId="767700499">
    <w:abstractNumId w:val="12"/>
  </w:num>
  <w:num w:numId="3" w16cid:durableId="980884213">
    <w:abstractNumId w:val="21"/>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2"/>
  </w:num>
  <w:num w:numId="10" w16cid:durableId="1699429464">
    <w:abstractNumId w:val="22"/>
  </w:num>
  <w:num w:numId="11" w16cid:durableId="1062680395">
    <w:abstractNumId w:val="1"/>
  </w:num>
  <w:num w:numId="12" w16cid:durableId="2118793171">
    <w:abstractNumId w:val="7"/>
  </w:num>
  <w:num w:numId="13" w16cid:durableId="1243837963">
    <w:abstractNumId w:val="6"/>
  </w:num>
  <w:num w:numId="14" w16cid:durableId="1296058729">
    <w:abstractNumId w:val="20"/>
  </w:num>
  <w:num w:numId="15" w16cid:durableId="1988124532">
    <w:abstractNumId w:val="22"/>
  </w:num>
  <w:num w:numId="16" w16cid:durableId="563225832">
    <w:abstractNumId w:val="22"/>
  </w:num>
  <w:num w:numId="17" w16cid:durableId="599262311">
    <w:abstractNumId w:val="15"/>
  </w:num>
  <w:num w:numId="18" w16cid:durableId="161748096">
    <w:abstractNumId w:val="23"/>
  </w:num>
  <w:num w:numId="19" w16cid:durableId="573126915">
    <w:abstractNumId w:val="22"/>
  </w:num>
  <w:num w:numId="20" w16cid:durableId="2004045065">
    <w:abstractNumId w:val="5"/>
  </w:num>
  <w:num w:numId="21" w16cid:durableId="584807274">
    <w:abstractNumId w:val="22"/>
  </w:num>
  <w:num w:numId="22" w16cid:durableId="181170718">
    <w:abstractNumId w:val="22"/>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357"/>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C33"/>
    <w:rsid w:val="00184F92"/>
    <w:rsid w:val="001856EB"/>
    <w:rsid w:val="00185B97"/>
    <w:rsid w:val="00186634"/>
    <w:rsid w:val="00186D2E"/>
    <w:rsid w:val="001876A5"/>
    <w:rsid w:val="00187BDF"/>
    <w:rsid w:val="00187D2B"/>
    <w:rsid w:val="00190D3D"/>
    <w:rsid w:val="00192AB7"/>
    <w:rsid w:val="0019394F"/>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23C"/>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D97"/>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967"/>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A19"/>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3B63"/>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AF1"/>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C7CF5"/>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5"/>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BB5"/>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097"/>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4AB"/>
    <w:rsid w:val="004E1E88"/>
    <w:rsid w:val="004E2D44"/>
    <w:rsid w:val="004E3C4B"/>
    <w:rsid w:val="004E40B3"/>
    <w:rsid w:val="004E4E98"/>
    <w:rsid w:val="004E751C"/>
    <w:rsid w:val="004E7E0E"/>
    <w:rsid w:val="004F060C"/>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27EC5"/>
    <w:rsid w:val="0053231C"/>
    <w:rsid w:val="00532AA1"/>
    <w:rsid w:val="005335CB"/>
    <w:rsid w:val="00534A2D"/>
    <w:rsid w:val="00534EAD"/>
    <w:rsid w:val="00535207"/>
    <w:rsid w:val="005368B4"/>
    <w:rsid w:val="00537386"/>
    <w:rsid w:val="005375B6"/>
    <w:rsid w:val="00537723"/>
    <w:rsid w:val="00537927"/>
    <w:rsid w:val="005400AA"/>
    <w:rsid w:val="00540126"/>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292F"/>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59CA"/>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B43"/>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1F19"/>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25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4D98"/>
    <w:rsid w:val="006857BA"/>
    <w:rsid w:val="00686079"/>
    <w:rsid w:val="00686510"/>
    <w:rsid w:val="00686671"/>
    <w:rsid w:val="00686893"/>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57C5"/>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621"/>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A70"/>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C12"/>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9E4"/>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2D0"/>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405"/>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887"/>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2DA"/>
    <w:rsid w:val="008C2225"/>
    <w:rsid w:val="008C23CE"/>
    <w:rsid w:val="008C273A"/>
    <w:rsid w:val="008C30AB"/>
    <w:rsid w:val="008C3F87"/>
    <w:rsid w:val="008C4043"/>
    <w:rsid w:val="008C56E6"/>
    <w:rsid w:val="008C5B5C"/>
    <w:rsid w:val="008C5E15"/>
    <w:rsid w:val="008C5FF6"/>
    <w:rsid w:val="008C6918"/>
    <w:rsid w:val="008C7E6C"/>
    <w:rsid w:val="008D0556"/>
    <w:rsid w:val="008D0E58"/>
    <w:rsid w:val="008D105D"/>
    <w:rsid w:val="008D15DC"/>
    <w:rsid w:val="008D2BCE"/>
    <w:rsid w:val="008D4416"/>
    <w:rsid w:val="008D4EEB"/>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B7C"/>
    <w:rsid w:val="00933182"/>
    <w:rsid w:val="0093327A"/>
    <w:rsid w:val="00933AFF"/>
    <w:rsid w:val="00934C57"/>
    <w:rsid w:val="00934E5A"/>
    <w:rsid w:val="009354B0"/>
    <w:rsid w:val="00935C20"/>
    <w:rsid w:val="00935F4E"/>
    <w:rsid w:val="0093685B"/>
    <w:rsid w:val="00937551"/>
    <w:rsid w:val="00937F6E"/>
    <w:rsid w:val="009403FE"/>
    <w:rsid w:val="00940902"/>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DA4"/>
    <w:rsid w:val="00967098"/>
    <w:rsid w:val="00967896"/>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628"/>
    <w:rsid w:val="00A20839"/>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1294"/>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5BE"/>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2C5"/>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499"/>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4972"/>
    <w:rsid w:val="00CE5131"/>
    <w:rsid w:val="00CE5314"/>
    <w:rsid w:val="00CE5F94"/>
    <w:rsid w:val="00CE7809"/>
    <w:rsid w:val="00CF1A01"/>
    <w:rsid w:val="00CF2D5C"/>
    <w:rsid w:val="00CF33EF"/>
    <w:rsid w:val="00CF399C"/>
    <w:rsid w:val="00CF412D"/>
    <w:rsid w:val="00CF4D05"/>
    <w:rsid w:val="00CF517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1EC1"/>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2344"/>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89A"/>
    <w:rsid w:val="00E155EA"/>
    <w:rsid w:val="00E1566F"/>
    <w:rsid w:val="00E15AF7"/>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9EA"/>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7CD"/>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CF8"/>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8F9"/>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B62"/>
    <w:rsid w:val="00FD0D32"/>
    <w:rsid w:val="00FD10D9"/>
    <w:rsid w:val="00FD22C1"/>
    <w:rsid w:val="00FD2A9A"/>
    <w:rsid w:val="00FD3242"/>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BA13F-57FD-4BAE-A978-F77054D91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1471</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5</cp:revision>
  <dcterms:created xsi:type="dcterms:W3CDTF">2024-11-06T04:45:00Z</dcterms:created>
  <dcterms:modified xsi:type="dcterms:W3CDTF">2024-11-08T11:17:00Z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